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4C" w:rsidRDefault="00B1474C" w:rsidP="00290E7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PCOS</w:t>
      </w:r>
    </w:p>
    <w:p w:rsidR="00B1474C" w:rsidRPr="00B1474C" w:rsidRDefault="00B1474C" w:rsidP="00290E76">
      <w:pPr>
        <w:spacing w:after="0"/>
        <w:rPr>
          <w:sz w:val="24"/>
          <w:szCs w:val="28"/>
        </w:rPr>
      </w:pPr>
      <w:r w:rsidRPr="00B1474C">
        <w:rPr>
          <w:sz w:val="24"/>
          <w:szCs w:val="28"/>
        </w:rPr>
        <w:t>Most common cause of menstrual irregularity and androgen excess in women – diagnosis of exclusion!</w:t>
      </w:r>
    </w:p>
    <w:p w:rsidR="00E1758B" w:rsidRDefault="00E1758B" w:rsidP="00290E76">
      <w:pPr>
        <w:spacing w:after="0"/>
        <w:rPr>
          <w:b/>
          <w:sz w:val="24"/>
          <w:szCs w:val="28"/>
        </w:rPr>
      </w:pPr>
    </w:p>
    <w:p w:rsidR="00B1474C" w:rsidRPr="00B1474C" w:rsidRDefault="00B1474C" w:rsidP="00290E76">
      <w:pPr>
        <w:spacing w:after="0"/>
        <w:rPr>
          <w:b/>
          <w:sz w:val="24"/>
          <w:szCs w:val="28"/>
        </w:rPr>
      </w:pPr>
      <w:r w:rsidRPr="00B1474C">
        <w:rPr>
          <w:b/>
          <w:sz w:val="24"/>
          <w:szCs w:val="28"/>
        </w:rPr>
        <w:t xml:space="preserve">Pathogenesis: </w:t>
      </w:r>
    </w:p>
    <w:p w:rsidR="00000000" w:rsidRPr="00B1474C" w:rsidRDefault="00E1758B" w:rsidP="00B1474C">
      <w:pPr>
        <w:numPr>
          <w:ilvl w:val="0"/>
          <w:numId w:val="10"/>
        </w:numPr>
        <w:spacing w:after="0"/>
        <w:rPr>
          <w:szCs w:val="28"/>
        </w:rPr>
      </w:pPr>
      <w:r w:rsidRPr="00B1474C">
        <w:rPr>
          <w:szCs w:val="28"/>
        </w:rPr>
        <w:t xml:space="preserve">Altered LH secretion/action 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Higher LH concentration/pulse frequency/amplitude</w:t>
      </w:r>
    </w:p>
    <w:p w:rsidR="00000000" w:rsidRPr="00B1474C" w:rsidRDefault="00E1758B" w:rsidP="00B1474C">
      <w:pPr>
        <w:numPr>
          <w:ilvl w:val="0"/>
          <w:numId w:val="10"/>
        </w:numPr>
        <w:spacing w:after="0"/>
        <w:rPr>
          <w:szCs w:val="28"/>
        </w:rPr>
      </w:pPr>
      <w:r w:rsidRPr="00B1474C">
        <w:rPr>
          <w:szCs w:val="28"/>
        </w:rPr>
        <w:t>Disrupted ovarian folliculogenesis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Selec</w:t>
      </w:r>
      <w:r w:rsidRPr="00B1474C">
        <w:rPr>
          <w:szCs w:val="28"/>
        </w:rPr>
        <w:t>tion of dominant follicle is abnormal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Insufficient FSH, local inhibition of FSH activity, intra-ovarian factors</w:t>
      </w:r>
    </w:p>
    <w:p w:rsidR="00000000" w:rsidRPr="00B1474C" w:rsidRDefault="00E1758B" w:rsidP="00B1474C">
      <w:pPr>
        <w:numPr>
          <w:ilvl w:val="0"/>
          <w:numId w:val="10"/>
        </w:numPr>
        <w:spacing w:after="0"/>
        <w:rPr>
          <w:szCs w:val="28"/>
        </w:rPr>
      </w:pPr>
      <w:r w:rsidRPr="00B1474C">
        <w:rPr>
          <w:szCs w:val="28"/>
        </w:rPr>
        <w:t>Altered insu</w:t>
      </w:r>
      <w:r w:rsidRPr="00B1474C">
        <w:rPr>
          <w:szCs w:val="28"/>
        </w:rPr>
        <w:t xml:space="preserve">lin secretion/action 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 xml:space="preserve">Hyperinsulinemia/insulin resistance 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Etiology remains unclear</w:t>
      </w:r>
    </w:p>
    <w:p w:rsidR="00000000" w:rsidRPr="00B1474C" w:rsidRDefault="00E1758B" w:rsidP="00B1474C">
      <w:pPr>
        <w:numPr>
          <w:ilvl w:val="0"/>
          <w:numId w:val="10"/>
        </w:numPr>
        <w:spacing w:after="0"/>
        <w:rPr>
          <w:szCs w:val="28"/>
        </w:rPr>
      </w:pPr>
      <w:r w:rsidRPr="00B1474C">
        <w:rPr>
          <w:szCs w:val="28"/>
        </w:rPr>
        <w:t>Increased androgen production</w:t>
      </w:r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Genetic factors</w:t>
      </w:r>
      <w:bookmarkStart w:id="0" w:name="_GoBack"/>
      <w:bookmarkEnd w:id="0"/>
    </w:p>
    <w:p w:rsidR="00000000" w:rsidRPr="00B1474C" w:rsidRDefault="00E1758B" w:rsidP="00B1474C">
      <w:pPr>
        <w:numPr>
          <w:ilvl w:val="1"/>
          <w:numId w:val="10"/>
        </w:numPr>
        <w:spacing w:after="0"/>
        <w:rPr>
          <w:szCs w:val="28"/>
        </w:rPr>
      </w:pPr>
      <w:r w:rsidRPr="00B1474C">
        <w:rPr>
          <w:szCs w:val="28"/>
        </w:rPr>
        <w:t>Increased ovarian theca cell response to increased L</w:t>
      </w:r>
      <w:r w:rsidRPr="00B1474C">
        <w:rPr>
          <w:szCs w:val="28"/>
        </w:rPr>
        <w:t>H</w:t>
      </w:r>
    </w:p>
    <w:p w:rsidR="00B1474C" w:rsidRDefault="00B1474C" w:rsidP="00290E76">
      <w:pPr>
        <w:spacing w:after="0"/>
        <w:rPr>
          <w:b/>
          <w:sz w:val="24"/>
          <w:szCs w:val="28"/>
        </w:rPr>
      </w:pPr>
    </w:p>
    <w:p w:rsidR="00B1474C" w:rsidRDefault="00B1474C" w:rsidP="00290E76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Goals of Therapy:</w:t>
      </w:r>
    </w:p>
    <w:p w:rsidR="00B1474C" w:rsidRPr="00B1474C" w:rsidRDefault="00B1474C" w:rsidP="00B1474C">
      <w:pPr>
        <w:pStyle w:val="NoSpacing"/>
        <w:numPr>
          <w:ilvl w:val="0"/>
          <w:numId w:val="14"/>
        </w:numPr>
      </w:pPr>
      <w:r w:rsidRPr="00B1474C">
        <w:t>Amelioration of hyperandrogenic features</w:t>
      </w:r>
    </w:p>
    <w:p w:rsidR="00B1474C" w:rsidRPr="00B1474C" w:rsidRDefault="00B1474C" w:rsidP="00B1474C">
      <w:pPr>
        <w:pStyle w:val="NoSpacing"/>
        <w:numPr>
          <w:ilvl w:val="0"/>
          <w:numId w:val="14"/>
        </w:numPr>
      </w:pPr>
      <w:r w:rsidRPr="00B1474C">
        <w:t>Management of underlying metabolic abnormalities/reduce risk of DM2 and CV disease</w:t>
      </w:r>
    </w:p>
    <w:p w:rsidR="00B1474C" w:rsidRPr="00B1474C" w:rsidRDefault="00B1474C" w:rsidP="00B1474C">
      <w:pPr>
        <w:pStyle w:val="NoSpacing"/>
        <w:numPr>
          <w:ilvl w:val="0"/>
          <w:numId w:val="14"/>
        </w:numPr>
      </w:pPr>
      <w:r w:rsidRPr="00B1474C">
        <w:t>Prevention of endometrial hyperplasia/carcinoma</w:t>
      </w:r>
    </w:p>
    <w:p w:rsidR="00B1474C" w:rsidRPr="00B1474C" w:rsidRDefault="00B1474C" w:rsidP="00B1474C">
      <w:pPr>
        <w:pStyle w:val="NoSpacing"/>
        <w:numPr>
          <w:ilvl w:val="0"/>
          <w:numId w:val="14"/>
        </w:numPr>
      </w:pPr>
      <w:r w:rsidRPr="00B1474C">
        <w:t>Occurs due to chronic anovulation</w:t>
      </w:r>
    </w:p>
    <w:p w:rsidR="00B1474C" w:rsidRPr="00B1474C" w:rsidRDefault="00B1474C" w:rsidP="00B1474C">
      <w:pPr>
        <w:pStyle w:val="NoSpacing"/>
        <w:numPr>
          <w:ilvl w:val="0"/>
          <w:numId w:val="14"/>
        </w:numPr>
      </w:pPr>
      <w:r w:rsidRPr="00B1474C">
        <w:t>Ovulation induction for those pursuing pregnancy</w:t>
      </w:r>
    </w:p>
    <w:p w:rsidR="00B1474C" w:rsidRDefault="00B1474C" w:rsidP="00290E76">
      <w:pPr>
        <w:spacing w:after="0"/>
        <w:rPr>
          <w:b/>
          <w:sz w:val="24"/>
          <w:szCs w:val="28"/>
        </w:rPr>
      </w:pPr>
    </w:p>
    <w:p w:rsidR="00B1474C" w:rsidRDefault="00B1474C" w:rsidP="00290E76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Treatment Options: </w:t>
      </w:r>
    </w:p>
    <w:p w:rsidR="00000000" w:rsidRPr="00B1474C" w:rsidRDefault="00E1758B" w:rsidP="00B1474C">
      <w:pPr>
        <w:pStyle w:val="NoSpacing"/>
      </w:pPr>
      <w:r w:rsidRPr="00B1474C">
        <w:t>Combined estrogen-progestin oral contraceptives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 xml:space="preserve">Daily exposure to progestin which antagonizes the </w:t>
      </w:r>
      <w:r w:rsidRPr="00B1474C">
        <w:t>endometrial proliferative effect of estrogen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Contraception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Reduction in hyperandrogenic manifestations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Restores menstrual regularity</w:t>
      </w:r>
    </w:p>
    <w:p w:rsidR="00000000" w:rsidRPr="00B1474C" w:rsidRDefault="00E1758B" w:rsidP="00B1474C">
      <w:pPr>
        <w:pStyle w:val="NoSpacing"/>
      </w:pPr>
      <w:r w:rsidRPr="00B1474C">
        <w:t>Progestin only therapy (not as well studied and considered alternative therapy if OCPs cannot be used) – for endome</w:t>
      </w:r>
      <w:r w:rsidRPr="00B1474C">
        <w:t>trial protection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Intermittent progestin therapy – NO reduction in hyperandrogen symptoms, NO contraception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Medroxyprogestero</w:t>
      </w:r>
      <w:r w:rsidRPr="00B1474C">
        <w:t>ne acetate 5-10mg for 10-14 days every 1-2 months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Micronized progesterone 200mg for 10-14 days every 1-2 months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Continuous p</w:t>
      </w:r>
      <w:r w:rsidRPr="00B1474C">
        <w:t>rogestin therapy – provides both endometrial protection and contraception, NO reduction in hyperandrogen symptoms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 xml:space="preserve">Norethindrone 0.35mg daily </w:t>
      </w:r>
    </w:p>
    <w:p w:rsidR="00000000" w:rsidRPr="00B1474C" w:rsidRDefault="00E1758B" w:rsidP="00B1474C">
      <w:pPr>
        <w:pStyle w:val="NoSpacing"/>
        <w:numPr>
          <w:ilvl w:val="0"/>
          <w:numId w:val="13"/>
        </w:numPr>
      </w:pPr>
      <w:r w:rsidRPr="00B1474C">
        <w:t>Levonorgestrel-releasing IUD</w:t>
      </w:r>
    </w:p>
    <w:p w:rsidR="00B1474C" w:rsidRDefault="00E1758B" w:rsidP="00B1474C">
      <w:pPr>
        <w:pStyle w:val="NoSpacing"/>
      </w:pPr>
      <w:r w:rsidRPr="00B1474C">
        <w:t>Metformin – restores menstrual cyclicity/ovulation in 30-50%</w:t>
      </w:r>
    </w:p>
    <w:p w:rsidR="00000000" w:rsidRPr="00B1474C" w:rsidRDefault="00E1758B" w:rsidP="00B1474C">
      <w:pPr>
        <w:pStyle w:val="NoSpacing"/>
      </w:pPr>
      <w:r w:rsidRPr="00B1474C">
        <w:t>Antiandrogen – may be added 6 months after OCPs if response not optimal</w:t>
      </w:r>
    </w:p>
    <w:p w:rsidR="00B1474C" w:rsidRPr="00B1474C" w:rsidRDefault="00E1758B" w:rsidP="00B1474C">
      <w:pPr>
        <w:pStyle w:val="NoSpacing"/>
      </w:pPr>
      <w:r w:rsidRPr="00B1474C">
        <w:t>Lifestyle changes and cosmetic options</w:t>
      </w:r>
    </w:p>
    <w:p w:rsidR="00A70CF6" w:rsidRDefault="00A70CF6" w:rsidP="00290E76">
      <w:pPr>
        <w:spacing w:after="0"/>
        <w:rPr>
          <w:b/>
          <w:sz w:val="28"/>
          <w:szCs w:val="28"/>
        </w:rPr>
      </w:pPr>
    </w:p>
    <w:p w:rsidR="00B1474C" w:rsidRDefault="00B1474C" w:rsidP="00290E76">
      <w:pPr>
        <w:spacing w:after="0"/>
        <w:rPr>
          <w:b/>
          <w:sz w:val="28"/>
          <w:szCs w:val="28"/>
        </w:rPr>
      </w:pPr>
    </w:p>
    <w:sectPr w:rsidR="00B1474C" w:rsidSect="00290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DFE"/>
    <w:multiLevelType w:val="hybridMultilevel"/>
    <w:tmpl w:val="E0581072"/>
    <w:lvl w:ilvl="0" w:tplc="99F837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AA0"/>
    <w:multiLevelType w:val="hybridMultilevel"/>
    <w:tmpl w:val="55A2BD9C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4C63"/>
    <w:multiLevelType w:val="hybridMultilevel"/>
    <w:tmpl w:val="E80CC12A"/>
    <w:lvl w:ilvl="0" w:tplc="5310151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C6D"/>
    <w:multiLevelType w:val="hybridMultilevel"/>
    <w:tmpl w:val="E59E85EC"/>
    <w:lvl w:ilvl="0" w:tplc="B7E41B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35E"/>
    <w:multiLevelType w:val="hybridMultilevel"/>
    <w:tmpl w:val="49A2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3E8F"/>
    <w:multiLevelType w:val="hybridMultilevel"/>
    <w:tmpl w:val="56A66F46"/>
    <w:lvl w:ilvl="0" w:tplc="2864FF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600CE6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0986B5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01A2C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D25CB1F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D4602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C854FA0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A72F1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56685E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401CE"/>
    <w:multiLevelType w:val="hybridMultilevel"/>
    <w:tmpl w:val="CE44B1A8"/>
    <w:lvl w:ilvl="0" w:tplc="1560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87770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49CC8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26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07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8A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D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25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8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3409A0"/>
    <w:multiLevelType w:val="hybridMultilevel"/>
    <w:tmpl w:val="EBD0085C"/>
    <w:lvl w:ilvl="0" w:tplc="1A1A9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3FB0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C2AF4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6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2B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A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8B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4C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577BE9"/>
    <w:multiLevelType w:val="hybridMultilevel"/>
    <w:tmpl w:val="215ADB6E"/>
    <w:lvl w:ilvl="0" w:tplc="D8D0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4B64"/>
    <w:multiLevelType w:val="hybridMultilevel"/>
    <w:tmpl w:val="FF864FF2"/>
    <w:lvl w:ilvl="0" w:tplc="80441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A3774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40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E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0F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80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6B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6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A9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483D6D"/>
    <w:multiLevelType w:val="hybridMultilevel"/>
    <w:tmpl w:val="5F6E7E56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556D0"/>
    <w:multiLevelType w:val="hybridMultilevel"/>
    <w:tmpl w:val="85D244A4"/>
    <w:lvl w:ilvl="0" w:tplc="79CE64D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73468"/>
    <w:multiLevelType w:val="hybridMultilevel"/>
    <w:tmpl w:val="53D81158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DD5CCF"/>
    <w:multiLevelType w:val="hybridMultilevel"/>
    <w:tmpl w:val="63448C2E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290E76"/>
    <w:rsid w:val="002B2F7F"/>
    <w:rsid w:val="00545D60"/>
    <w:rsid w:val="008412B5"/>
    <w:rsid w:val="00A70CF6"/>
    <w:rsid w:val="00B1474C"/>
    <w:rsid w:val="00B34DE8"/>
    <w:rsid w:val="00B5634D"/>
    <w:rsid w:val="00E1758B"/>
    <w:rsid w:val="00E52BC6"/>
    <w:rsid w:val="00F71F44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50BA"/>
  <w15:chartTrackingRefBased/>
  <w15:docId w15:val="{06B8B7BF-380C-4868-94A4-CE401D6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B4"/>
    <w:pPr>
      <w:ind w:left="720"/>
      <w:contextualSpacing/>
    </w:pPr>
  </w:style>
  <w:style w:type="paragraph" w:styleId="NoSpacing">
    <w:name w:val="No Spacing"/>
    <w:uiPriority w:val="1"/>
    <w:qFormat/>
    <w:rsid w:val="002B2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1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3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1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1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4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7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8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7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9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8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76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9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6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1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1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8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60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1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98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3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1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0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96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2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3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0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4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9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3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41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5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2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82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3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8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36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30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6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4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2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2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7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1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1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5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8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6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8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35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8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0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5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81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6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6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CPT USARMY (USA)</dc:creator>
  <cp:keywords/>
  <dc:description/>
  <cp:lastModifiedBy>Orrick, Michael J CPT USARMY (USA)</cp:lastModifiedBy>
  <cp:revision>2</cp:revision>
  <dcterms:created xsi:type="dcterms:W3CDTF">2022-09-06T02:40:00Z</dcterms:created>
  <dcterms:modified xsi:type="dcterms:W3CDTF">2022-09-06T02:40:00Z</dcterms:modified>
</cp:coreProperties>
</file>